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keepNext w:val="true"/>
        <w:numPr>
          <w:ilvl w:val="0"/>
          <w:numId w:val="1"/>
        </w:numPr>
        <w:pBdr/>
        <w:spacing w:after="0" w:line="360" w:lineRule="auto"/>
        <w:ind w:right="-28"/>
        <w:jc w:val="center"/>
        <w:rPr>
          <w:rFonts w:eastAsia="Times New Roman" w:asciiTheme="minorHAnsi" w:hAnsiTheme="minorHAnsi"/>
          <w:b/>
          <w:spacing w:val="20"/>
          <w:sz w:val="24"/>
          <w:szCs w:val="20"/>
          <w:lang w:eastAsia="ru-RU"/>
        </w:rPr>
      </w:pPr>
      <w:r>
        <w:rPr>
          <w:rFonts w:eastAsia="Times New Roman" w:asciiTheme="minorHAnsi" w:hAnsiTheme="minorHAnsi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 w:asciiTheme="minorHAnsi" w:hAnsiTheme="minorHAnsi"/>
          <w:b/>
          <w:spacing w:val="20"/>
          <w:sz w:val="24"/>
          <w:szCs w:val="20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 w:asciiTheme="minorHAnsi" w:hAnsiTheme="minorHAnsi"/>
          <w:sz w:val="28"/>
          <w:szCs w:val="28"/>
          <w:lang w:eastAsia="ru-RU"/>
        </w:rPr>
      </w:pPr>
      <w:r>
        <w:rPr>
          <w:rFonts w:eastAsia="Times New Roman" w:asciiTheme="minorHAnsi" w:hAnsiTheme="minorHAnsi"/>
          <w:sz w:val="28"/>
          <w:szCs w:val="28"/>
          <w:lang w:eastAsia="ru-RU"/>
        </w:rPr>
        <w:t xml:space="preserve">подведения итогов электронного конкурса</w:t>
      </w:r>
      <w:r>
        <w:rPr>
          <w:rFonts w:eastAsia="Times New Roman" w:asciiTheme="minorHAnsi" w:hAnsiTheme="minorHAnsi"/>
          <w:sz w:val="28"/>
          <w:szCs w:val="28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 w:asciiTheme="minorHAnsi" w:hAnsiTheme="minorHAnsi"/>
          <w:sz w:val="24"/>
          <w:szCs w:val="24"/>
          <w:lang w:eastAsia="ru-RU"/>
        </w:rPr>
      </w:pPr>
      <w:r>
        <w:rPr>
          <w:rFonts w:eastAsia="Times New Roman" w:asciiTheme="minorHAnsi" w:hAnsiTheme="minorHAnsi"/>
          <w:sz w:val="24"/>
          <w:szCs w:val="24"/>
          <w:lang w:eastAsia="ru-RU"/>
        </w:rPr>
        <w:t xml:space="preserve">(0801500001126001022)</w:t>
      </w:r>
      <w:r>
        <w:rPr>
          <w:rFonts w:eastAsia="Times New Roman" w:asciiTheme="minorHAnsi" w:hAnsiTheme="minorHAnsi"/>
          <w:sz w:val="24"/>
          <w:szCs w:val="24"/>
          <w:lang w:eastAsia="ru-RU"/>
        </w:rPr>
      </w:r>
    </w:p>
    <w:p>
      <w:pPr>
        <w:pBdr/>
        <w:spacing w:after="0" w:line="240" w:lineRule="auto"/>
        <w:ind w:right="5243" w:left="3828"/>
        <w:rPr>
          <w:rFonts w:eastAsia="Times New Roman" w:asciiTheme="minorHAnsi" w:hAnsiTheme="minorHAnsi" w:cstheme="minorHAnsi"/>
          <w:sz w:val="24"/>
          <w:szCs w:val="20"/>
          <w:lang w:eastAsia="ru-RU"/>
        </w:rPr>
      </w:pPr>
      <w:r>
        <w:rPr>
          <w:rFonts w:eastAsia="Times New Roman" w:asciiTheme="minorHAnsi" w:hAnsiTheme="minorHAnsi" w:cstheme="minorHAnsi"/>
          <w:sz w:val="24"/>
          <w:szCs w:val="20"/>
          <w:lang w:eastAsia="ru-RU"/>
        </w:rPr>
      </w:r>
      <w:r>
        <w:rPr>
          <w:rFonts w:eastAsia="Times New Roman" w:asciiTheme="minorHAnsi" w:hAnsiTheme="minorHAnsi" w:cstheme="minorHAnsi"/>
          <w:sz w:val="24"/>
          <w:szCs w:val="20"/>
          <w:lang w:eastAsia="ru-RU"/>
        </w:rPr>
      </w:r>
    </w:p>
    <w:tbl>
      <w:tblPr>
        <w:tblW w:w="10206" w:type="dxa"/>
        <w:tblInd w:w="-5" w:type="dxa"/>
        <w:tblBorders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Borders/>
            <w:tcW w:w="2557" w:type="dxa"/>
            <w:vAlign w:val="bottom"/>
            <w:textDirection w:val="lrTb"/>
            <w:noWrap w:val="false"/>
          </w:tcPr>
          <w:p>
            <w:pPr>
              <w:pStyle w:val="861"/>
              <w:pBdr/>
              <w:tabs>
                <w:tab w:val="left" w:leader="none" w:pos="567"/>
              </w:tabs>
              <w:spacing w:after="0" w:line="240" w:lineRule="auto"/>
              <w:ind w:left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lang w:eastAsia="ru-RU"/>
              </w:rPr>
              <w:t xml:space="preserve">25.06.2026</w:t>
            </w:r>
            <w:r>
              <w:rPr>
                <w:rFonts w:asciiTheme="minorHAnsi" w:hAnsiTheme="minorHAnsi" w:cstheme="minorHAnsi"/>
                <w:bCs/>
              </w:rPr>
            </w:r>
          </w:p>
        </w:tc>
        <w:tc>
          <w:tcPr>
            <w:tcBorders/>
            <w:tcW w:w="4247" w:type="dxa"/>
            <w:vAlign w:val="bottom"/>
            <w:textDirection w:val="lrTb"/>
            <w:noWrap w:val="false"/>
          </w:tcPr>
          <w:p>
            <w:pPr>
              <w:pStyle w:val="861"/>
              <w:pBdr/>
              <w:tabs>
                <w:tab w:val="left" w:leader="none" w:pos="567"/>
              </w:tabs>
              <w:spacing w:after="60" w:before="60" w:line="240" w:lineRule="auto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</w:r>
            <w:r>
              <w:rPr>
                <w:rFonts w:asciiTheme="minorHAnsi" w:hAnsiTheme="minorHAnsi" w:cstheme="minorHAnsi"/>
                <w:bCs/>
              </w:rPr>
            </w:r>
          </w:p>
        </w:tc>
        <w:tc>
          <w:tcPr>
            <w:tcBorders/>
            <w:tcW w:w="3402" w:type="dxa"/>
            <w:textDirection w:val="lrTb"/>
            <w:noWrap w:val="false"/>
          </w:tcPr>
          <w:p>
            <w:pPr>
              <w:pStyle w:val="861"/>
              <w:pBdr/>
              <w:tabs>
                <w:tab w:val="left" w:leader="none" w:pos="567"/>
              </w:tabs>
              <w:spacing w:after="60" w:before="60" w:line="240" w:lineRule="auto"/>
              <w:ind w:left="0"/>
              <w:rPr>
                <w:rFonts w:asciiTheme="minorHAnsi" w:hAnsiTheme="minorHAnsi" w:cstheme="minorHAnsi"/>
                <w:lang w:eastAsia="ru-RU"/>
              </w:rPr>
            </w:pPr>
            <w:r>
              <w:rPr>
                <w:rFonts w:asciiTheme="minorHAnsi" w:hAnsiTheme="minorHAnsi" w:cstheme="minorHAnsi"/>
                <w:bCs/>
              </w:rPr>
              <w:t xml:space="preserve">№ </w:t>
            </w:r>
            <w:r>
              <w:rPr>
                <w:rFonts w:asciiTheme="minorHAnsi" w:hAnsiTheme="minorHAnsi" w:cstheme="minorHAnsi"/>
                <w:lang w:eastAsia="ru-RU"/>
              </w:rPr>
              <w:t xml:space="preserve">0801500001126001022-5-1</w:t>
            </w:r>
            <w:r>
              <w:rPr>
                <w:rFonts w:asciiTheme="minorHAnsi" w:hAnsiTheme="minorHAnsi" w:cstheme="minorHAnsi"/>
                <w:lang w:eastAsia="ru-RU"/>
              </w:rPr>
            </w:r>
          </w:p>
        </w:tc>
      </w:tr>
      <w:tr>
        <w:trPr/>
        <w:tc>
          <w:tcPr>
            <w:gridSpan w:val="3"/>
            <w:tcBorders/>
            <w:tcW w:w="10206" w:type="dxa"/>
            <w:vAlign w:val="bottom"/>
            <w:textDirection w:val="lrTb"/>
            <w:noWrap w:val="false"/>
          </w:tcPr>
          <w:p>
            <w:pPr>
              <w:pStyle w:val="861"/>
              <w:pBdr/>
              <w:tabs>
                <w:tab w:val="left" w:leader="none" w:pos="567"/>
              </w:tabs>
              <w:spacing w:after="60" w:before="60"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/>
                <w:lang w:eastAsia="ru-RU"/>
              </w:rPr>
              <w:t xml:space="preserve">Башкортостан Респ, Уфа г</w:t>
            </w:r>
            <w:r>
              <w:rPr>
                <w:rFonts w:asciiTheme="minorHAnsi" w:hAnsiTheme="minorHAnsi" w:cstheme="minorHAnsi"/>
                <w:bCs/>
              </w:rPr>
            </w:r>
          </w:p>
        </w:tc>
      </w:tr>
    </w:tbl>
    <w:p>
      <w:pPr>
        <w:pStyle w:val="861"/>
        <w:pBdr/>
        <w:tabs>
          <w:tab w:val="left" w:leader="none" w:pos="567"/>
        </w:tabs>
        <w:spacing w:after="60" w:before="60" w:line="240" w:lineRule="auto"/>
        <w:ind w:left="0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</w:r>
      <w:r>
        <w:rPr>
          <w:rFonts w:asciiTheme="minorHAnsi" w:hAnsiTheme="minorHAnsi" w:cstheme="minorHAnsi"/>
          <w:bCs/>
        </w:rPr>
      </w:r>
    </w:p>
    <w:p>
      <w:pPr>
        <w:pStyle w:val="863"/>
        <w:widowControl w:val="false"/>
        <w:numPr>
          <w:ilvl w:val="0"/>
          <w:numId w:val="13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Организатор: </w:t>
      </w:r>
      <w:r>
        <w:rPr>
          <w:rFonts w:eastAsia="Times New Roman" w:asciiTheme="minorHAnsi" w:hAnsiTheme="minorHAnsi" w:cstheme="minorHAnsi"/>
        </w:rPr>
      </w:r>
    </w:p>
    <w:p>
      <w:pPr>
        <w:widowControl w:val="false"/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Уполномоченное учреждение ГОСУДАРСТВЕННОЕ КАЗЕННОЕ УЧРЕЖДЕНИЕ РЕСПУБЛИКИ БАШКОРТОСТАН "РЕСПУБЛИКАНСКИЙ ЦЕНТР ТОРГОВ".</w:t>
      </w:r>
      <w:r>
        <w:rPr>
          <w:rFonts w:eastAsia="Times New Roman" w:asciiTheme="minorHAnsi" w:hAnsiTheme="minorHAnsi" w:cstheme="minorHAnsi"/>
        </w:rPr>
      </w:r>
    </w:p>
    <w:p>
      <w:pPr>
        <w:pStyle w:val="863"/>
        <w:widowControl w:val="false"/>
        <w:numPr>
          <w:ilvl w:val="0"/>
          <w:numId w:val="13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Заказчик(и): </w:t>
      </w:r>
      <w:r>
        <w:rPr>
          <w:rFonts w:eastAsia="Times New Roman" w:asciiTheme="minorHAnsi" w:hAnsiTheme="minorHAnsi" w:cstheme="minorHAnsi"/>
        </w:rPr>
      </w:r>
    </w:p>
    <w:tbl>
      <w:tblPr>
        <w:tblStyle w:val="86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Borders/>
            <w:tcW w:w="10093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before="60"/>
              <w:ind/>
              <w:rPr>
                <w:rFonts w:eastAsia="Times New Roman" w:asciiTheme="minorHAnsi" w:hAnsiTheme="minorHAnsi" w:cs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</w:rPr>
              <w:t xml:space="preserve">ГОСУДАРСТВЕННОЕ КАЗЕННОЕ УЧРЕЖДЕНИЕ УПРАВЛЕНИЕ ДОРОЖНОГО ХОЗЯЙСТВА РЕСПУБЛИКИ БАШКОРТОСТАН</w:t>
            </w:r>
            <w:r>
              <w:rPr>
                <w:rFonts w:eastAsia="Times New Roman" w:asciiTheme="minorHAnsi" w:hAnsiTheme="minorHAnsi" w:cstheme="minorHAnsi"/>
                <w:sz w:val="22"/>
                <w:szCs w:val="22"/>
              </w:rPr>
            </w:r>
          </w:p>
        </w:tc>
      </w:tr>
    </w:tbl>
    <w:p>
      <w:pPr>
        <w:pStyle w:val="863"/>
        <w:widowControl w:val="false"/>
        <w:numPr>
          <w:ilvl w:val="0"/>
          <w:numId w:val="13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Идентификационный код закупки: 262027416293402740100100850017112414.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</w:r>
    </w:p>
    <w:p>
      <w:pPr>
        <w:pStyle w:val="863"/>
        <w:widowControl w:val="false"/>
        <w:numPr>
          <w:ilvl w:val="0"/>
          <w:numId w:val="13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eastAsia="Times New Roman" w:asciiTheme="minorHAnsi" w:hAnsiTheme="minorHAnsi"/>
          <w:lang w:eastAsia="ru-RU"/>
        </w:rPr>
        <w:t xml:space="preserve">Извещение об осуществлении закупки размещено 29.05.2026 16:31 (MSK+02:00) на сайте Единой информационной системы в сфере закупок (ЕИС) по адресу в сети «Интернет»: http://zakupki.gov.ru и на сайте </w:t>
      </w:r>
      <w:r>
        <w:rPr>
          <w:rFonts w:eastAsia="Times New Roman" w:asciiTheme="minorHAnsi" w:hAnsiTheme="minorHAnsi"/>
          <w:lang w:eastAsia="ru-RU"/>
        </w:rPr>
        <w:t xml:space="preserve">электронной торговой площадки «Фабрикант»</w:t>
      </w:r>
      <w:r>
        <w:rPr>
          <w:rFonts w:eastAsia="Times New Roman" w:asciiTheme="minorHAnsi" w:hAnsiTheme="minorHAnsi"/>
          <w:lang w:eastAsia="ru-RU"/>
        </w:rPr>
        <w:t xml:space="preserve"> по адресу в сети «Интернет»: </w:t>
      </w:r>
      <w:r>
        <w:rPr>
          <w:rFonts w:eastAsia="Times New Roman" w:asciiTheme="minorHAnsi" w:hAnsiTheme="minorHAnsi"/>
          <w:lang w:eastAsia="ru-RU"/>
        </w:rPr>
        <w:t xml:space="preserve">http://www.etp-ets.ru</w:t>
      </w:r>
      <w:r>
        <w:rPr>
          <w:rFonts w:eastAsia="Times New Roman" w:asciiTheme="minorHAnsi" w:hAnsiTheme="minorHAnsi"/>
          <w:lang w:eastAsia="ru-RU"/>
        </w:rPr>
        <w:t xml:space="preserve">.</w:t>
      </w:r>
      <w:r>
        <w:rPr>
          <w:rFonts w:asciiTheme="minorHAnsi" w:hAnsiTheme="minorHAnsi" w:cstheme="minorHAnsi"/>
        </w:rPr>
      </w:r>
    </w:p>
    <w:p>
      <w:pPr>
        <w:pStyle w:val="863"/>
        <w:widowControl w:val="false"/>
        <w:numPr>
          <w:ilvl w:val="0"/>
          <w:numId w:val="13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Наименование объекта закупки: Проектная документация автомобильной дороги Аскино – Кунгак. Реконструкция мостового перехода через р.Аскин на км 1+949 в Аскинском районе Республики Башкортостан.</w:t>
      </w:r>
      <w:r>
        <w:rPr>
          <w:rFonts w:asciiTheme="minorHAnsi" w:hAnsiTheme="minorHAnsi" w:cstheme="minorHAnsi"/>
        </w:rPr>
      </w:r>
    </w:p>
    <w:p>
      <w:pPr>
        <w:pStyle w:val="863"/>
        <w:widowControl w:val="false"/>
        <w:numPr>
          <w:ilvl w:val="0"/>
          <w:numId w:val="13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Начальная (максимальная) цена контракта, руб.: 3 910 000.00</w:t>
      </w:r>
      <w:r>
        <w:rPr>
          <w:rFonts w:asciiTheme="minorHAnsi" w:hAnsiTheme="minorHAnsi" w:cstheme="minorHAnsi"/>
        </w:rPr>
      </w:r>
    </w:p>
    <w:p>
      <w:pPr>
        <w:widowControl w:val="false"/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/>
      </w:r>
      <w:r>
        <w:rPr>
          <w:rFonts w:asciiTheme="minorHAnsi" w:hAnsiTheme="minorHAnsi" w:cstheme="minorHAnsi"/>
        </w:rPr>
      </w:r>
    </w:p>
    <w:tbl>
      <w:tblPr>
        <w:tblStyle w:val="862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Borders/>
            <w:tcW w:w="10353" w:type="dxa"/>
            <w:textDirection w:val="lrTb"/>
            <w:noWrap w:val="false"/>
          </w:tcPr>
          <w:p>
            <w:pPr>
              <w:pStyle w:val="863"/>
              <w:keepNext w:val="true"/>
              <w:widowControl w:val="false"/>
              <w:numPr>
                <w:ilvl w:val="0"/>
                <w:numId w:val="13"/>
              </w:numPr>
              <w:pBdr/>
              <w:spacing w:before="60"/>
              <w:ind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Дата и время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подведения итогов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электронного конкурса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  <w:r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25.06.2026 10:33:49 (MSK+02:00).</w: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</w:p>
        </w:tc>
      </w:tr>
    </w:tbl>
    <w:p>
      <w:pPr>
        <w:pStyle w:val="863"/>
        <w:keepNext w:val="true"/>
        <w:widowControl w:val="false"/>
        <w:numPr>
          <w:ilvl w:val="0"/>
          <w:numId w:val="13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Наименование комиссии: Комиссия  по осуществлению закупок Государственного казенного учреждения Республики Башкортостан «Республиканский центр торгов» при проведении открытых конкурсов в электронной форме на выполнение строительно-монтажных работ по объектам строительства, реконструкции, капитального ремонта и ремонта автомобильных дорог общего пользования регионального и межмуниципального значения и сооружений на них для нужд Государственного казенного учреждения Управление дорожного хозяйства Республики Башкортостан.. </w:t>
      </w:r>
      <w:r>
        <w:rPr>
          <w:rFonts w:asciiTheme="minorHAnsi" w:hAnsiTheme="minorHAnsi" w:cstheme="minorHAnsi"/>
        </w:rPr>
      </w:r>
    </w:p>
    <w:p>
      <w:pPr>
        <w:pStyle w:val="863"/>
        <w:keepNext w:val="true"/>
        <w:widowControl w:val="false"/>
        <w:numPr>
          <w:ilvl w:val="0"/>
          <w:numId w:val="13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Состав комиссии по осуществлению закупок:</w:t>
      </w:r>
      <w:r>
        <w:rPr>
          <w:rFonts w:asciiTheme="minorHAnsi" w:hAnsiTheme="minorHAnsi" w:cstheme="minorHAnsi"/>
        </w:rPr>
      </w:r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Роль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Должность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Фамилия, имя, отчество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Статус</w:t>
            </w:r>
            <w:r>
              <w:rPr>
                <w:rFonts w:asciiTheme="minorHAnsi" w:hAnsiTheme="minorHAnsi" w:cstheme="minorHAnsi"/>
                <w:b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Зам. председателя комиссии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/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Лутфрахманов Ренат Юлаевич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Присутствует</w:t>
            </w:r>
            <w:r>
              <w:rPr>
                <w:rFonts w:asciiTheme="minorHAnsi" w:hAnsiTheme="minorHAnsi" w:cstheme="minorHAnsi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Член комиссии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/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Назмутдинов Талгат Ришатович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Присутствует</w:t>
            </w:r>
            <w:r>
              <w:rPr>
                <w:rFonts w:asciiTheme="minorHAnsi" w:hAnsiTheme="minorHAnsi" w:cstheme="minorHAnsi"/>
              </w:rPr>
            </w:r>
          </w:p>
        </w:tc>
      </w:tr>
    </w:tbl>
    <w:p>
      <w:pPr>
        <w:widowControl w:val="false"/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Количество членов комиссии, присутствующих на заседании: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2.</w:t>
      </w:r>
      <w:r>
        <w:rPr>
          <w:rFonts w:asciiTheme="minorHAnsi" w:hAnsiTheme="minorHAnsi" w:cstheme="minorHAnsi"/>
        </w:rPr>
        <w:t xml:space="preserve"> </w:t>
      </w:r>
      <w:r>
        <w:rPr>
          <w:rFonts w:eastAsia="Times New Roman" w:asciiTheme="minorHAnsi" w:hAnsiTheme="minorHAnsi"/>
          <w:lang w:eastAsia="ru-RU"/>
        </w:rPr>
        <w:t xml:space="preserve">Кворум имеется. Комиссия правомочна.</w:t>
      </w:r>
      <w:r>
        <w:rPr>
          <w:rFonts w:asciiTheme="minorHAnsi" w:hAnsiTheme="minorHAnsi" w:cstheme="minorHAnsi"/>
        </w:rPr>
      </w:r>
    </w:p>
    <w:p>
      <w:pPr>
        <w:pStyle w:val="863"/>
        <w:widowControl w:val="false"/>
        <w:numPr>
          <w:ilvl w:val="0"/>
          <w:numId w:val="13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  <w:t xml:space="preserve"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</w:t>
      </w:r>
      <w:r>
        <w:rPr>
          <w:rFonts w:eastAsia="Times New Roman" w:asciiTheme="minorHAnsi" w:hAnsiTheme="minorHAnsi" w:cstheme="minorHAnsi"/>
          <w:lang w:eastAsia="ru-RU"/>
        </w:rPr>
        <w:t xml:space="preserve"> №44-ФЗ</w:t>
      </w:r>
      <w:r>
        <w:rPr>
          <w:rFonts w:eastAsia="Times New Roman" w:asciiTheme="minorHAnsi" w:hAnsiTheme="minorHAnsi" w:cstheme="minorHAnsi"/>
          <w:lang w:eastAsia="ru-RU"/>
        </w:rPr>
        <w:t xml:space="preserve">, с обоснованием такого решения</w:t>
      </w:r>
      <w:r>
        <w:rPr>
          <w:rFonts w:eastAsia="Times New Roman" w:asciiTheme="minorHAnsi" w:hAnsiTheme="minorHAnsi" w:cstheme="minorHAnsi"/>
          <w:lang w:eastAsia="ru-RU"/>
        </w:rPr>
        <w:t xml:space="preserve">:</w:t>
      </w:r>
      <w:r>
        <w:rPr>
          <w:rFonts w:eastAsia="Times New Roman" w:asciiTheme="minorHAnsi" w:hAnsiTheme="minorHAnsi" w:cstheme="minorHAnsi"/>
          <w:lang w:eastAsia="ru-RU"/>
        </w:rPr>
        <w:t xml:space="preserve"> </w:t>
      </w:r>
      <w:r>
        <w:rPr>
          <w:rFonts w:eastAsia="Times New Roman" w:asciiTheme="minorHAnsi" w:hAnsiTheme="minorHAnsi" w:cstheme="minorHAnsi"/>
          <w:lang w:eastAsia="ru-RU"/>
        </w:rPr>
      </w:r>
    </w:p>
    <w:tbl>
      <w:tblPr>
        <w:tblStyle w:val="862"/>
        <w:tblW w:w="10206" w:type="dxa"/>
        <w:tblInd w:w="-5" w:type="dxa"/>
        <w:tblBorders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559"/>
        <w:gridCol w:w="2694"/>
        <w:gridCol w:w="1701"/>
        <w:gridCol w:w="1275"/>
        <w:gridCol w:w="1275"/>
      </w:tblGrid>
      <w:tr>
        <w:trPr>
          <w:trHeight w:val="843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 w:left="-108"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Идентификационный номер заявки,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 присвоенный оператором,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asciiTheme="minorHAnsi" w:hAnsiTheme="minorHAnsi"/>
                <w:b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hAnsiTheme="minorHAnsi"/>
                <w:b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</w:rPr>
            </w:r>
            <w:r>
              <w:rPr>
                <w:rFonts w:eastAsia="Times New Roman" w:asciiTheme="minorHAnsi" w:hAnsiTheme="minorHAnsi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 w:asciiTheme="minorHAnsi" w:hAnsiTheme="minorHAnsi"/>
                <w:b/>
                <w:sz w:val="22"/>
              </w:rPr>
            </w:r>
            <w:r>
              <w:rPr>
                <w:rFonts w:eastAsia="Times New Roman" w:hAnsiTheme="minorHAnsi"/>
                <w:b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</w:r>
            <w:r>
              <w:rPr>
                <w:rFonts w:eastAsia="Times New Roman" w:asciiTheme="minorHAnsi" w:hAnsiTheme="minorHAnsi"/>
                <w:sz w:val="22"/>
              </w:rPr>
              <w:t xml:space="preserve">1</w:t>
            </w:r>
            <w:r>
              <w:rPr>
                <w:rFonts w:eastAsia="Times New Roman" w:asciiTheme="minorHAnsi" w:hAnsiTheme="minorHAnsi"/>
                <w:sz w:val="22"/>
              </w:rPr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1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19.06.2026 12:35:09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3 910 000.00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- 0.00 %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</w:rPr>
            </w:r>
            <w:r>
              <w:rPr>
                <w:rFonts w:eastAsia="Times New Roman" w:asciiTheme="minorHAnsi" w:hAnsiTheme="minorHAnsi"/>
                <w:sz w:val="22"/>
              </w:rPr>
              <w:t xml:space="preserve">1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hAnsiTheme="minorHAnsi"/>
                <w:sz w:val="22"/>
                <w:szCs w:val="22"/>
              </w:rPr>
            </w:r>
          </w:p>
        </w:tc>
      </w:tr>
    </w:tbl>
    <w:p>
      <w:pPr>
        <w:pStyle w:val="863"/>
        <w:widowControl w:val="false"/>
        <w:numPr>
          <w:ilvl w:val="0"/>
          <w:numId w:val="13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  <w:t xml:space="preserve">Информация о решении каждого члена комиссии по осуществлению закупок в отношении каждой заявки на участие в закупке</w:t>
      </w:r>
      <w:r>
        <w:rPr>
          <w:rFonts w:eastAsia="Times New Roman" w:asciiTheme="minorHAnsi" w:hAnsiTheme="minorHAnsi" w:cstheme="minorHAnsi"/>
          <w:lang w:eastAsia="ru-RU"/>
        </w:rPr>
        <w:t xml:space="preserve">:</w:t>
      </w:r>
      <w:r>
        <w:rPr>
          <w:rFonts w:eastAsia="Times New Roman" w:asciiTheme="minorHAnsi" w:hAnsiTheme="minorHAnsi" w:cstheme="minorHAnsi"/>
          <w:lang w:eastAsia="ru-RU"/>
        </w:rPr>
      </w:r>
    </w:p>
    <w:tbl>
      <w:tblGrid>
        <w:gridCol w:w="3212.6666666666669698315672576427459716796875" w:type="dxa"/>
        <w:gridCol w:w="3212.6666666666669698315672576427459716796875" w:type="dxa"/>
        <w:gridCol w:w="3212.6666666666669698315672576427459716796875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Информация о наличии (отсутствии) конфликта интересов между членом комиссии и участником закупки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Лутфрахманов Ренат Юлаевич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Назмутдинов Талгат Ришатович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</w:tbl>
    <w:p>
      <w:pPr>
        <w:pStyle w:val="863"/>
        <w:widowControl w:val="false"/>
        <w:numPr>
          <w:ilvl w:val="0"/>
          <w:numId w:val="16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/>
          <w:lang w:eastAsia="ru-RU"/>
        </w:rPr>
        <w:t xml:space="preserve">Признать электронный</w:t>
      </w:r>
      <w:r>
        <w:rPr>
          <w:rFonts w:eastAsia="Times New Roman" w:asciiTheme="minorHAnsi" w:hAnsiTheme="minorHAnsi"/>
          <w:lang w:eastAsia="ru-RU"/>
        </w:rPr>
        <w:t xml:space="preserve"> конкурс </w:t>
      </w:r>
      <w:r>
        <w:rPr>
          <w:rFonts w:eastAsia="Times New Roman" w:asciiTheme="minorHAnsi" w:hAnsiTheme="minorHAnsi"/>
          <w:lang w:eastAsia="ru-RU"/>
        </w:rPr>
        <w:t xml:space="preserve">№ </w:t>
      </w:r>
      <w:r>
        <w:rPr>
          <w:rFonts w:eastAsia="Times New Roman" w:asciiTheme="minorHAnsi" w:hAnsiTheme="minorHAnsi"/>
          <w:lang w:eastAsia="ru-RU"/>
        </w:rPr>
        <w:t xml:space="preserve">0801500001126001022 несостоявшимся на основании ч. 1 ст. 5</w:t>
      </w:r>
      <w:r>
        <w:rPr>
          <w:rFonts w:eastAsia="Times New Roman" w:asciiTheme="minorHAnsi" w:hAnsiTheme="minorHAnsi"/>
          <w:lang w:eastAsia="ru-RU"/>
        </w:rPr>
        <w:t xml:space="preserve">2</w:t>
      </w:r>
      <w:r>
        <w:rPr>
          <w:rFonts w:eastAsia="Times New Roman" w:asciiTheme="minorHAnsi" w:hAnsiTheme="minorHAnsi"/>
          <w:lang w:eastAsia="ru-RU"/>
        </w:rPr>
        <w:t xml:space="preserve"> Федерального закона № 44-ФЗ в связи с тем, что </w:t>
      </w:r>
      <w:r>
        <w:rPr>
          <w:rFonts w:eastAsia="Times New Roman" w:asciiTheme="minorHAnsi" w:hAnsiTheme="minorHAnsi"/>
          <w:lang w:eastAsia="ru-RU"/>
        </w:rPr>
        <w:t xml:space="preserve">по окончании срока подачи заявок на участие в закупке подана только одна заявка на участие в закупке</w:t>
      </w:r>
      <w:r>
        <w:rPr>
          <w:rFonts w:eastAsia="Times New Roman" w:asciiTheme="minorHAnsi" w:hAnsiTheme="minorHAnsi"/>
          <w:lang w:eastAsia="ru-RU"/>
        </w:rPr>
        <w:t xml:space="preserve">.</w:t>
      </w:r>
      <w:r>
        <w:rPr>
          <w:rFonts w:eastAsia="Times New Roman" w:asciiTheme="minorHAnsi" w:hAnsiTheme="minorHAnsi" w:cstheme="minorHAnsi"/>
          <w:lang w:eastAsia="ru-RU"/>
        </w:rPr>
      </w:r>
    </w:p>
    <w:p>
      <w:pPr>
        <w:pStyle w:val="863"/>
        <w:keepNext w:val="true"/>
        <w:widowControl w:val="false"/>
        <w:numPr>
          <w:ilvl w:val="0"/>
          <w:numId w:val="16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/>
          <w:lang w:eastAsia="ru-RU"/>
        </w:rPr>
        <w:t xml:space="preserve">На основании п.2 ч.</w:t>
      </w:r>
      <w:r>
        <w:rPr>
          <w:rFonts w:eastAsia="Times New Roman" w:asciiTheme="minorHAnsi" w:hAnsiTheme="minorHAnsi"/>
          <w:lang w:eastAsia="ru-RU"/>
        </w:rPr>
        <w:t xml:space="preserve">1</w:t>
      </w:r>
      <w:r>
        <w:rPr>
          <w:rFonts w:eastAsia="Times New Roman" w:asciiTheme="minorHAnsi" w:hAnsiTheme="minorHAnsi"/>
          <w:lang w:eastAsia="ru-RU"/>
        </w:rPr>
        <w:t xml:space="preserve">5 ст.4</w:t>
      </w:r>
      <w:r>
        <w:rPr>
          <w:rFonts w:eastAsia="Times New Roman" w:asciiTheme="minorHAnsi" w:hAnsiTheme="minorHAnsi"/>
          <w:lang w:eastAsia="ru-RU"/>
        </w:rPr>
        <w:t xml:space="preserve">8</w:t>
      </w:r>
      <w:r>
        <w:rPr>
          <w:rFonts w:eastAsia="Times New Roman" w:asciiTheme="minorHAnsi" w:hAnsiTheme="minorHAnsi"/>
          <w:lang w:eastAsia="ru-RU"/>
        </w:rPr>
        <w:t xml:space="preserve"> Федерального закона № 44-ФЗ </w:t>
      </w:r>
      <w:r>
        <w:rPr>
          <w:rFonts w:eastAsia="Times New Roman" w:asciiTheme="minorHAnsi" w:hAnsiTheme="minorHAnsi"/>
          <w:lang w:eastAsia="ru-RU"/>
        </w:rPr>
        <w:t xml:space="preserve">настоящий протокол подведения итогов сформирован </w:t>
      </w:r>
      <w:r>
        <w:rPr>
          <w:rFonts w:eastAsia="Times New Roman" w:asciiTheme="minorHAnsi" w:hAnsiTheme="minorHAnsi"/>
          <w:lang w:eastAsia="ru-RU"/>
        </w:rPr>
        <w:t xml:space="preserve">Уполномоченным учреждением</w:t>
      </w:r>
      <w:bookmarkStart w:id="0" w:name="_GoBack"/>
      <w:r/>
      <w:bookmarkEnd w:id="0"/>
      <w:r>
        <w:rPr>
          <w:rFonts w:eastAsia="Times New Roman" w:asciiTheme="minorHAnsi" w:hAnsiTheme="minorHAnsi"/>
          <w:lang w:eastAsia="ru-RU"/>
        </w:rPr>
        <w:t xml:space="preserve"> с использованием электронной пло</w:t>
      </w:r>
      <w:r>
        <w:rPr>
          <w:rFonts w:eastAsia="Times New Roman" w:asciiTheme="minorHAnsi" w:hAnsiTheme="minorHAnsi"/>
          <w:lang w:eastAsia="ru-RU"/>
        </w:rP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 w:asciiTheme="minorHAnsi" w:hAnsiTheme="minorHAnsi"/>
          <w:lang w:eastAsia="ru-RU"/>
        </w:rPr>
        <w:t xml:space="preserve">электронной торговой площадки «Фабрикант»</w:t>
      </w:r>
      <w:r>
        <w:rPr>
          <w:rFonts w:eastAsia="Times New Roman" w:asciiTheme="minorHAnsi" w:hAnsiTheme="minorHAnsi"/>
          <w:lang w:eastAsia="ru-RU"/>
        </w:rPr>
        <w:t xml:space="preserve"> по адресу в сети «Интернет»: http://www.etp-ets.ru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 w:asciiTheme="minorHAnsi" w:hAnsiTheme="minorHAnsi" w:cstheme="minorHAnsi"/>
          <w:lang w:eastAsia="ru-RU"/>
        </w:rPr>
      </w:r>
    </w:p>
    <w:sectPr>
      <w:footnotePr/>
      <w:endnotePr/>
      <w:type w:val="nextPage"/>
      <w:pgSz w:h="16838" w:orient="portrait" w:w="11906"/>
      <w:pgMar w:top="1134" w:right="850" w:bottom="1134" w:left="993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">
    <w:numStyleLink w:val="865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">
    <w:numStyleLink w:val="865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)"/>
      <w:numFmt w:val="lowerLetter"/>
      <w:pPr>
        <w:pBdr/>
        <w:spacing/>
        <w:ind w:hanging="360" w:left="720"/>
      </w:pPr>
      <w:rPr>
        <w:rFonts w:hint="default"/>
      </w:rPr>
      <w:start w:val="1"/>
      <w:suff w:val="tab"/>
    </w:lvl>
    <w:lvl w:ilvl="2">
      <w:isLgl w:val="false"/>
      <w:lvlJc w:val="left"/>
      <w:lvlText w:val="%3)"/>
      <w:numFmt w:val="lowerRoman"/>
      <w:pPr>
        <w:pBdr/>
        <w:spacing/>
        <w:ind w:hanging="360" w:left="1080"/>
      </w:pPr>
      <w:rPr>
        <w:rFonts w:hint="default"/>
      </w:rPr>
      <w:start w:val="1"/>
      <w:suff w:val="tab"/>
    </w:lvl>
    <w:lvl w:ilvl="3">
      <w:isLgl w:val="false"/>
      <w:lvlJc w:val="left"/>
      <w:lvlText w:val="(%4)"/>
      <w:numFmt w:val="decimal"/>
      <w:pPr>
        <w:pBdr/>
        <w:spacing/>
        <w:ind w:hanging="360" w:left="1440"/>
      </w:pPr>
      <w:rPr>
        <w:rFonts w:hint="default"/>
      </w:rPr>
      <w:start w:val="1"/>
      <w:suff w:val="tab"/>
    </w:lvl>
    <w:lvl w:ilvl="4">
      <w:isLgl w:val="false"/>
      <w:lvlJc w:val="left"/>
      <w:lvlText w:val="(%5)"/>
      <w:numFmt w:val="lowerLetter"/>
      <w:pPr>
        <w:pBdr/>
        <w:spacing/>
        <w:ind w:hanging="360" w:left="1800"/>
      </w:pPr>
      <w:rPr>
        <w:rFonts w:hint="default"/>
      </w:rPr>
      <w:start w:val="1"/>
      <w:suff w:val="tab"/>
    </w:lvl>
    <w:lvl w:ilvl="5">
      <w:isLgl w:val="false"/>
      <w:lvlJc w:val="left"/>
      <w:lvlText w:val="(%6)"/>
      <w:numFmt w:val="lowerRoman"/>
      <w:pPr>
        <w:pBdr/>
        <w:spacing/>
        <w:ind w:hanging="360" w:left="216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252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2880"/>
      </w:pPr>
      <w:rPr>
        <w:rFonts w:hint="default"/>
      </w:rPr>
      <w:start w:val="1"/>
      <w:suff w:val="tab"/>
    </w:lvl>
    <w:lvl w:ilvl="8">
      <w:isLgl w:val="false"/>
      <w:lvlJc w:val="left"/>
      <w:lvlText w:val="%9."/>
      <w:numFmt w:val="lowerRoman"/>
      <w:pPr>
        <w:pBdr/>
        <w:spacing/>
        <w:ind w:hanging="360" w:left="3240"/>
      </w:pPr>
      <w:rPr>
        <w:rFonts w:hint="default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0">
    <w:lvl w:ilvl="0">
      <w:isLgl w:val="false"/>
      <w:lvlJc w:val="left"/>
      <w:lvlText/>
      <w:numFmt w:val="none"/>
      <w:pPr>
        <w:pBdr/>
        <w:tabs>
          <w:tab w:val="num" w:leader="none" w:pos="360"/>
        </w:tabs>
        <w:spacing/>
        <w:ind w:firstLine="0" w:left="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1">
    <w:numStyleLink w:val="865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2">
    <w:numStyleLink w:val="865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3">
    <w:styleLink w:val="865"/>
    <w:lvl w:ilvl="0">
      <w:isLgl w:val="false"/>
      <w:lvlJc w:val="left"/>
      <w:lvlText w:val="%1."/>
      <w:numFmt w:val="decimal"/>
      <w:pPr>
        <w:pBdr/>
        <w:spacing/>
        <w:ind w:hanging="357" w:left="357"/>
      </w:pPr>
      <w:pStyle w:val="865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num w:numId="1">
    <w:abstractNumId w:val="1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5"/>
  </w:num>
  <w:num w:numId="7">
    <w:abstractNumId w:val="6"/>
  </w:num>
  <w:num w:numId="8">
    <w:abstractNumId w:val="0"/>
  </w:num>
  <w:num w:numId="9">
    <w:abstractNumId w:val="7"/>
  </w:num>
  <w:num w:numId="10">
    <w:abstractNumId w:val="2"/>
  </w:num>
  <w:num w:numId="11">
    <w:abstractNumId w:val="13"/>
  </w:num>
  <w:num w:numId="12">
    <w:abstractNumId w:val="12"/>
  </w:num>
  <w:num w:numId="13">
    <w:abstractNumId w:val="11"/>
  </w:num>
  <w:num w:numId="14">
    <w:abstractNumId w:val="1"/>
  </w:num>
  <w:num w:numId="15">
    <w:abstractNumId w:val="3"/>
  </w:num>
  <w:num w:numId="16">
    <w:abstractNumId w:val="11"/>
    <w:lvlOverride w:ilvl="0">
      <w:lvl w:ilvl="0">
        <w:isLgl w:val="false"/>
        <w:lvlJc w:val="left"/>
        <w:lvlText w:val="%1."/>
        <w:numFmt w:val="decimal"/>
        <w:pPr>
          <w:pBdr/>
          <w:spacing/>
          <w:ind w:hanging="357" w:left="357"/>
        </w:pPr>
        <w:rPr>
          <w:rFonts w:hint="default"/>
          <w:b w:val="0"/>
          <w:color w:val="auto"/>
        </w:rPr>
        <w:start w:val="1"/>
        <w:suff w:val="tab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3">
    <w:name w:val="Heading 1"/>
    <w:basedOn w:val="857"/>
    <w:next w:val="857"/>
    <w:link w:val="684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684">
    <w:name w:val="Heading 1 Char"/>
    <w:basedOn w:val="858"/>
    <w:link w:val="683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685">
    <w:name w:val="Heading 2"/>
    <w:basedOn w:val="857"/>
    <w:next w:val="857"/>
    <w:link w:val="686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686">
    <w:name w:val="Heading 2 Char"/>
    <w:basedOn w:val="858"/>
    <w:link w:val="685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687">
    <w:name w:val="Heading 3"/>
    <w:basedOn w:val="857"/>
    <w:next w:val="857"/>
    <w:link w:val="688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688">
    <w:name w:val="Heading 3 Char"/>
    <w:basedOn w:val="858"/>
    <w:link w:val="687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689">
    <w:name w:val="Heading 4"/>
    <w:basedOn w:val="857"/>
    <w:next w:val="857"/>
    <w:link w:val="690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0">
    <w:name w:val="Heading 4 Char"/>
    <w:basedOn w:val="858"/>
    <w:link w:val="689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691">
    <w:name w:val="Heading 5"/>
    <w:basedOn w:val="857"/>
    <w:next w:val="857"/>
    <w:link w:val="692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2">
    <w:name w:val="Heading 5 Char"/>
    <w:basedOn w:val="858"/>
    <w:link w:val="691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693">
    <w:name w:val="Heading 6"/>
    <w:basedOn w:val="857"/>
    <w:next w:val="857"/>
    <w:link w:val="694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4">
    <w:name w:val="Heading 6 Char"/>
    <w:basedOn w:val="858"/>
    <w:link w:val="693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695">
    <w:name w:val="Heading 7"/>
    <w:basedOn w:val="857"/>
    <w:next w:val="857"/>
    <w:link w:val="696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96">
    <w:name w:val="Heading 7 Char"/>
    <w:basedOn w:val="858"/>
    <w:link w:val="695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97">
    <w:name w:val="Heading 8"/>
    <w:basedOn w:val="857"/>
    <w:next w:val="857"/>
    <w:link w:val="698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98">
    <w:name w:val="Heading 8 Char"/>
    <w:basedOn w:val="858"/>
    <w:link w:val="697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699">
    <w:name w:val="Heading 9"/>
    <w:basedOn w:val="857"/>
    <w:next w:val="857"/>
    <w:link w:val="700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0">
    <w:name w:val="Heading 9 Char"/>
    <w:basedOn w:val="858"/>
    <w:link w:val="699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701">
    <w:name w:val="Title"/>
    <w:basedOn w:val="857"/>
    <w:next w:val="857"/>
    <w:link w:val="702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702">
    <w:name w:val="Title Char"/>
    <w:basedOn w:val="858"/>
    <w:link w:val="701"/>
    <w:uiPriority w:val="10"/>
    <w:pPr>
      <w:pBdr/>
      <w:spacing/>
      <w:ind/>
    </w:pPr>
    <w:rPr>
      <w:sz w:val="48"/>
      <w:szCs w:val="48"/>
    </w:rPr>
  </w:style>
  <w:style w:type="paragraph" w:styleId="703">
    <w:name w:val="Subtitle"/>
    <w:basedOn w:val="857"/>
    <w:next w:val="857"/>
    <w:link w:val="704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704">
    <w:name w:val="Subtitle Char"/>
    <w:basedOn w:val="858"/>
    <w:link w:val="703"/>
    <w:uiPriority w:val="11"/>
    <w:pPr>
      <w:pBdr/>
      <w:spacing/>
      <w:ind/>
    </w:pPr>
    <w:rPr>
      <w:sz w:val="24"/>
      <w:szCs w:val="24"/>
    </w:rPr>
  </w:style>
  <w:style w:type="paragraph" w:styleId="705">
    <w:name w:val="Quote"/>
    <w:basedOn w:val="857"/>
    <w:next w:val="857"/>
    <w:link w:val="706"/>
    <w:uiPriority w:val="29"/>
    <w:qFormat/>
    <w:pPr>
      <w:pBdr/>
      <w:spacing/>
      <w:ind w:right="720" w:left="720"/>
    </w:pPr>
    <w:rPr>
      <w:i/>
    </w:rPr>
  </w:style>
  <w:style w:type="character" w:styleId="706">
    <w:name w:val="Quote Char"/>
    <w:link w:val="705"/>
    <w:uiPriority w:val="29"/>
    <w:pPr>
      <w:pBdr/>
      <w:spacing/>
      <w:ind/>
    </w:pPr>
    <w:rPr>
      <w:i/>
    </w:rPr>
  </w:style>
  <w:style w:type="paragraph" w:styleId="707">
    <w:name w:val="Intense Quote"/>
    <w:basedOn w:val="857"/>
    <w:next w:val="857"/>
    <w:link w:val="708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708">
    <w:name w:val="Intense Quote Char"/>
    <w:link w:val="707"/>
    <w:uiPriority w:val="30"/>
    <w:pPr>
      <w:pBdr/>
      <w:spacing/>
      <w:ind/>
    </w:pPr>
    <w:rPr>
      <w:i/>
    </w:rPr>
  </w:style>
  <w:style w:type="paragraph" w:styleId="709">
    <w:name w:val="Header"/>
    <w:basedOn w:val="857"/>
    <w:link w:val="710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10">
    <w:name w:val="Header Char"/>
    <w:basedOn w:val="858"/>
    <w:link w:val="709"/>
    <w:uiPriority w:val="99"/>
    <w:pPr>
      <w:pBdr/>
      <w:spacing/>
      <w:ind/>
    </w:pPr>
  </w:style>
  <w:style w:type="paragraph" w:styleId="711">
    <w:name w:val="Footer"/>
    <w:basedOn w:val="857"/>
    <w:link w:val="714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12">
    <w:name w:val="Footer Char"/>
    <w:basedOn w:val="858"/>
    <w:link w:val="711"/>
    <w:uiPriority w:val="99"/>
    <w:pPr>
      <w:pBdr/>
      <w:spacing/>
      <w:ind/>
    </w:pPr>
  </w:style>
  <w:style w:type="paragraph" w:styleId="713">
    <w:name w:val="Caption"/>
    <w:basedOn w:val="857"/>
    <w:next w:val="857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714">
    <w:name w:val="Caption Char"/>
    <w:basedOn w:val="713"/>
    <w:link w:val="711"/>
    <w:uiPriority w:val="99"/>
    <w:pPr>
      <w:pBdr/>
      <w:spacing/>
      <w:ind/>
    </w:pPr>
  </w:style>
  <w:style w:type="table" w:styleId="715">
    <w:name w:val="Table Grid Light"/>
    <w:basedOn w:val="85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Plain Table 1"/>
    <w:basedOn w:val="85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Plain Table 2"/>
    <w:basedOn w:val="85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Plain Table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Plain Table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Plain Table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1 Light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1 Light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1 Light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1 Light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1 Light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1 Light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1 Light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2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2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2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2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2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2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3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3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3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3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3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3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4"/>
    <w:basedOn w:val="85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4 - Accent 1"/>
    <w:basedOn w:val="85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4 - Accent 2"/>
    <w:basedOn w:val="85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4 - Accent 3"/>
    <w:basedOn w:val="85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4 - Accent 4"/>
    <w:basedOn w:val="85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4 - Accent 5"/>
    <w:basedOn w:val="85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4 - Accent 6"/>
    <w:basedOn w:val="85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5 Dark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5 Dark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5 Dark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5 Dark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5 Dark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5 Dark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5 Dark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6 Colorful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6 Colorful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6 Colorful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6 Colorful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6 Colorful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6 Colorful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6 Colorful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7 Colorful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7 Colorful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7 Colorful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7 Colorful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7 Colorful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7 Colorful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7 Colorful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1 Light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1 Light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1 Light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1 Light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1 Light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1 Light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1 Light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2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2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2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2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2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2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3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3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3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3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3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3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4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4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4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4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4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4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5 Dark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5 Dark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5 Dark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5 Dark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5 Dark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5 Dark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5 Dark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6 Colorful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6 Colorful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6 Colorful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6 Colorful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6 Colorful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6 Colorful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6 Colorful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7 Colorful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7 Colorful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7 Colorful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7 Colorful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7 Colorful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7 Colorful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7 Colorful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ned - Accent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ned - Accent 1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ned - Accent 2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ned - Accent 3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ned - Accent 4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ned - Accent 5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ned - Accent 6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Bordered &amp; Lined - Accent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Bordered &amp; Lined - Accent 1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Bordered &amp; Lined - Accent 2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Bordered &amp; Lined - Accent 3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Bordered &amp; Lined - Accent 4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Bordered &amp; Lined - Accent 5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Bordered &amp; Lined - Accent 6"/>
    <w:basedOn w:val="85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Bordered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Bordered - Accent 1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Bordered - Accent 2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Bordered - Accent 3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Bordered - Accent 4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Bordered - Accent 5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Bordered - Accent 6"/>
    <w:basedOn w:val="85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40">
    <w:name w:val="footnote text"/>
    <w:basedOn w:val="857"/>
    <w:link w:val="841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841">
    <w:name w:val="Footnote Text Char"/>
    <w:link w:val="840"/>
    <w:uiPriority w:val="99"/>
    <w:pPr>
      <w:pBdr/>
      <w:spacing/>
      <w:ind/>
    </w:pPr>
    <w:rPr>
      <w:sz w:val="18"/>
    </w:rPr>
  </w:style>
  <w:style w:type="character" w:styleId="842">
    <w:name w:val="footnote reference"/>
    <w:basedOn w:val="858"/>
    <w:uiPriority w:val="99"/>
    <w:unhideWhenUsed/>
    <w:pPr>
      <w:pBdr/>
      <w:spacing/>
      <w:ind/>
    </w:pPr>
    <w:rPr>
      <w:vertAlign w:val="superscript"/>
    </w:rPr>
  </w:style>
  <w:style w:type="paragraph" w:styleId="843">
    <w:name w:val="endnote text"/>
    <w:basedOn w:val="857"/>
    <w:link w:val="844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844">
    <w:name w:val="Endnote Text Char"/>
    <w:link w:val="843"/>
    <w:uiPriority w:val="99"/>
    <w:pPr>
      <w:pBdr/>
      <w:spacing/>
      <w:ind/>
    </w:pPr>
    <w:rPr>
      <w:sz w:val="20"/>
    </w:rPr>
  </w:style>
  <w:style w:type="character" w:styleId="845">
    <w:name w:val="endnote reference"/>
    <w:basedOn w:val="858"/>
    <w:uiPriority w:val="99"/>
    <w:semiHidden/>
    <w:unhideWhenUsed/>
    <w:pPr>
      <w:pBdr/>
      <w:spacing/>
      <w:ind/>
    </w:pPr>
    <w:rPr>
      <w:vertAlign w:val="superscript"/>
    </w:rPr>
  </w:style>
  <w:style w:type="paragraph" w:styleId="846">
    <w:name w:val="toc 1"/>
    <w:basedOn w:val="857"/>
    <w:next w:val="857"/>
    <w:uiPriority w:val="39"/>
    <w:unhideWhenUsed/>
    <w:pPr>
      <w:pBdr/>
      <w:spacing w:after="57"/>
      <w:ind w:right="0" w:firstLine="0" w:left="0"/>
    </w:pPr>
  </w:style>
  <w:style w:type="paragraph" w:styleId="847">
    <w:name w:val="toc 2"/>
    <w:basedOn w:val="857"/>
    <w:next w:val="857"/>
    <w:uiPriority w:val="39"/>
    <w:unhideWhenUsed/>
    <w:pPr>
      <w:pBdr/>
      <w:spacing w:after="57"/>
      <w:ind w:right="0" w:firstLine="0" w:left="283"/>
    </w:pPr>
  </w:style>
  <w:style w:type="paragraph" w:styleId="848">
    <w:name w:val="toc 3"/>
    <w:basedOn w:val="857"/>
    <w:next w:val="857"/>
    <w:uiPriority w:val="39"/>
    <w:unhideWhenUsed/>
    <w:pPr>
      <w:pBdr/>
      <w:spacing w:after="57"/>
      <w:ind w:right="0" w:firstLine="0" w:left="567"/>
    </w:pPr>
  </w:style>
  <w:style w:type="paragraph" w:styleId="849">
    <w:name w:val="toc 4"/>
    <w:basedOn w:val="857"/>
    <w:next w:val="857"/>
    <w:uiPriority w:val="39"/>
    <w:unhideWhenUsed/>
    <w:pPr>
      <w:pBdr/>
      <w:spacing w:after="57"/>
      <w:ind w:right="0" w:firstLine="0" w:left="850"/>
    </w:pPr>
  </w:style>
  <w:style w:type="paragraph" w:styleId="850">
    <w:name w:val="toc 5"/>
    <w:basedOn w:val="857"/>
    <w:next w:val="857"/>
    <w:uiPriority w:val="39"/>
    <w:unhideWhenUsed/>
    <w:pPr>
      <w:pBdr/>
      <w:spacing w:after="57"/>
      <w:ind w:right="0" w:firstLine="0" w:left="1134"/>
    </w:pPr>
  </w:style>
  <w:style w:type="paragraph" w:styleId="851">
    <w:name w:val="toc 6"/>
    <w:basedOn w:val="857"/>
    <w:next w:val="857"/>
    <w:uiPriority w:val="39"/>
    <w:unhideWhenUsed/>
    <w:pPr>
      <w:pBdr/>
      <w:spacing w:after="57"/>
      <w:ind w:right="0" w:firstLine="0" w:left="1417"/>
    </w:pPr>
  </w:style>
  <w:style w:type="paragraph" w:styleId="852">
    <w:name w:val="toc 7"/>
    <w:basedOn w:val="857"/>
    <w:next w:val="857"/>
    <w:uiPriority w:val="39"/>
    <w:unhideWhenUsed/>
    <w:pPr>
      <w:pBdr/>
      <w:spacing w:after="57"/>
      <w:ind w:right="0" w:firstLine="0" w:left="1701"/>
    </w:pPr>
  </w:style>
  <w:style w:type="paragraph" w:styleId="853">
    <w:name w:val="toc 8"/>
    <w:basedOn w:val="857"/>
    <w:next w:val="857"/>
    <w:uiPriority w:val="39"/>
    <w:unhideWhenUsed/>
    <w:pPr>
      <w:pBdr/>
      <w:spacing w:after="57"/>
      <w:ind w:right="0" w:firstLine="0" w:left="1984"/>
    </w:pPr>
  </w:style>
  <w:style w:type="paragraph" w:styleId="854">
    <w:name w:val="toc 9"/>
    <w:basedOn w:val="857"/>
    <w:next w:val="857"/>
    <w:uiPriority w:val="39"/>
    <w:unhideWhenUsed/>
    <w:pPr>
      <w:pBdr/>
      <w:spacing w:after="57"/>
      <w:ind w:right="0" w:firstLine="0" w:left="2268"/>
    </w:pPr>
  </w:style>
  <w:style w:type="paragraph" w:styleId="855">
    <w:name w:val="TOC Heading"/>
    <w:uiPriority w:val="39"/>
    <w:unhideWhenUsed/>
    <w:pPr>
      <w:pBdr/>
      <w:spacing/>
      <w:ind/>
    </w:pPr>
  </w:style>
  <w:style w:type="paragraph" w:styleId="856">
    <w:name w:val="table of figures"/>
    <w:basedOn w:val="857"/>
    <w:next w:val="857"/>
    <w:uiPriority w:val="99"/>
    <w:unhideWhenUsed/>
    <w:pPr>
      <w:pBdr/>
      <w:spacing w:after="0" w:afterAutospacing="0"/>
      <w:ind/>
    </w:pPr>
  </w:style>
  <w:style w:type="paragraph" w:styleId="857" w:default="1">
    <w:name w:val="Normal"/>
    <w:qFormat/>
    <w:pPr>
      <w:pBdr/>
      <w:spacing/>
      <w:ind/>
      <w:jc w:val="both"/>
    </w:pPr>
    <w:rPr>
      <w:rFonts w:ascii="Calibri" w:hAnsi="Calibri" w:eastAsia="Calibri" w:cs="Times New Roman"/>
    </w:rPr>
  </w:style>
  <w:style w:type="character" w:styleId="858" w:default="1">
    <w:name w:val="Default Paragraph Font"/>
    <w:uiPriority w:val="1"/>
    <w:semiHidden/>
    <w:unhideWhenUsed/>
    <w:pPr>
      <w:pBdr/>
      <w:spacing/>
      <w:ind/>
    </w:pPr>
  </w:style>
  <w:style w:type="table" w:styleId="859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60" w:default="1">
    <w:name w:val="No List"/>
    <w:uiPriority w:val="99"/>
    <w:semiHidden/>
    <w:unhideWhenUsed/>
    <w:pPr>
      <w:pBdr/>
      <w:spacing/>
      <w:ind/>
    </w:pPr>
  </w:style>
  <w:style w:type="paragraph" w:styleId="861" w:customStyle="1">
    <w:name w:val="List Paragraph1"/>
    <w:basedOn w:val="857"/>
    <w:pPr>
      <w:pBdr/>
      <w:spacing/>
      <w:ind w:left="720"/>
    </w:pPr>
    <w:rPr>
      <w:rFonts w:eastAsia="Times New Roman" w:cs="Calibri"/>
    </w:rPr>
  </w:style>
  <w:style w:type="table" w:styleId="862">
    <w:name w:val="Table Grid"/>
    <w:basedOn w:val="859"/>
    <w:uiPriority w:val="59"/>
    <w:pPr>
      <w:pBdr/>
      <w:spacing w:after="0" w:line="240" w:lineRule="auto"/>
      <w:ind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63">
    <w:name w:val="List Paragraph"/>
    <w:basedOn w:val="857"/>
    <w:uiPriority w:val="34"/>
    <w:qFormat/>
    <w:pPr>
      <w:pBdr/>
      <w:spacing/>
      <w:ind w:left="720"/>
      <w:contextualSpacing w:val="true"/>
    </w:pPr>
  </w:style>
  <w:style w:type="paragraph" w:styleId="864">
    <w:name w:val="No Spacing"/>
    <w:uiPriority w:val="1"/>
    <w:qFormat/>
    <w:pPr>
      <w:pBdr/>
      <w:spacing w:after="0" w:line="240" w:lineRule="auto"/>
      <w:ind/>
    </w:pPr>
    <w:rPr>
      <w:rFonts w:ascii="Calibri" w:hAnsi="Calibri" w:eastAsia="Calibri" w:cs="Times New Roman"/>
    </w:rPr>
  </w:style>
  <w:style w:type="numbering" w:styleId="865" w:customStyle="1">
    <w:name w:val="Стиль1"/>
    <w:uiPriority w:val="99"/>
    <w:pPr>
      <w:numPr>
        <w:ilvl w:val="0"/>
        <w:numId w:val="11"/>
      </w:numPr>
      <w:pBdr/>
      <w:spacing/>
      <w:ind/>
    </w:pPr>
  </w:style>
  <w:style w:type="character" w:styleId="866">
    <w:name w:val="Hyperlink"/>
    <w:basedOn w:val="858"/>
    <w:uiPriority w:val="99"/>
    <w:semiHidden/>
    <w:unhideWhenUsed/>
    <w:pPr>
      <w:pBdr/>
      <w:spacing/>
      <w:ind/>
    </w:pPr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ONLYOFFICE/8.0.1.31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2022-03-14T07:31:00Z</dcterms:created>
  <dcterms:modified xsi:type="dcterms:W3CDTF">2024-05-08T08:38:49Z</dcterms:modified>
</cp:coreProperties>
</file>